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4B6D83" w:rsidRPr="00134363">
        <w:rPr>
          <w:rFonts w:eastAsia="Times New Roman"/>
          <w:sz w:val="26"/>
          <w:szCs w:val="26"/>
          <w:lang w:val="ru-RU" w:eastAsia="ru-RU"/>
        </w:rPr>
        <w:t>5</w:t>
      </w:r>
      <w:r w:rsidR="00EC1A9A" w:rsidRPr="003F5A9D">
        <w:rPr>
          <w:rFonts w:eastAsia="Times New Roman"/>
          <w:sz w:val="26"/>
          <w:szCs w:val="26"/>
          <w:lang w:eastAsia="ru-RU"/>
        </w:rPr>
        <w:t>.</w:t>
      </w:r>
      <w:r w:rsidR="002A3D6D" w:rsidRPr="00EF223B">
        <w:rPr>
          <w:rFonts w:eastAsia="Times New Roman"/>
          <w:sz w:val="26"/>
          <w:szCs w:val="26"/>
          <w:lang w:val="ru-RU" w:eastAsia="ru-RU"/>
        </w:rPr>
        <w:t>1</w:t>
      </w:r>
      <w:r w:rsidR="004B6D83" w:rsidRPr="00134363">
        <w:rPr>
          <w:rFonts w:eastAsia="Times New Roman"/>
          <w:sz w:val="26"/>
          <w:szCs w:val="26"/>
          <w:lang w:val="ru-RU" w:eastAsia="ru-RU"/>
        </w:rPr>
        <w:t>1</w:t>
      </w:r>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4B6D83">
        <w:rPr>
          <w:rFonts w:eastAsia="Times New Roman"/>
          <w:b/>
          <w:sz w:val="26"/>
          <w:szCs w:val="26"/>
          <w:lang w:eastAsia="ru-RU"/>
        </w:rPr>
        <w:t>верес</w:t>
      </w:r>
      <w:r w:rsidR="00A81527">
        <w:rPr>
          <w:rFonts w:eastAsia="Times New Roman"/>
          <w:b/>
          <w:sz w:val="26"/>
          <w:szCs w:val="26"/>
          <w:lang w:eastAsia="ru-RU"/>
        </w:rPr>
        <w:t>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4B6D83">
        <w:rPr>
          <w:rFonts w:eastAsia="Times New Roman"/>
          <w:sz w:val="26"/>
          <w:szCs w:val="26"/>
          <w:lang w:eastAsia="ru-RU"/>
        </w:rPr>
        <w:t>вересні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4B6D83">
        <w:rPr>
          <w:sz w:val="26"/>
          <w:szCs w:val="26"/>
        </w:rPr>
        <w:t>913789,1</w:t>
      </w:r>
      <w:r w:rsidRPr="00B32A0C">
        <w:rPr>
          <w:sz w:val="26"/>
          <w:szCs w:val="26"/>
        </w:rPr>
        <w:t xml:space="preserve"> тис.дол. США, або </w:t>
      </w:r>
      <w:r w:rsidR="004B6D83">
        <w:rPr>
          <w:sz w:val="26"/>
          <w:szCs w:val="26"/>
        </w:rPr>
        <w:t>106,5</w:t>
      </w:r>
      <w:r w:rsidRPr="00B32A0C">
        <w:rPr>
          <w:sz w:val="26"/>
          <w:szCs w:val="26"/>
        </w:rPr>
        <w:t xml:space="preserve">% порівняно з </w:t>
      </w:r>
      <w:r w:rsidR="003A4524">
        <w:rPr>
          <w:sz w:val="26"/>
          <w:szCs w:val="26"/>
        </w:rPr>
        <w:t>січнем</w:t>
      </w:r>
      <w:r w:rsidR="00B31326">
        <w:rPr>
          <w:sz w:val="26"/>
          <w:szCs w:val="26"/>
        </w:rPr>
        <w:t>–</w:t>
      </w:r>
      <w:r w:rsidR="004B6D83">
        <w:rPr>
          <w:sz w:val="26"/>
          <w:szCs w:val="26"/>
        </w:rPr>
        <w:t>вереснем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4B6D83">
        <w:rPr>
          <w:sz w:val="26"/>
          <w:szCs w:val="26"/>
        </w:rPr>
        <w:t>536814,4</w:t>
      </w:r>
      <w:r w:rsidRPr="00B32A0C">
        <w:rPr>
          <w:sz w:val="26"/>
          <w:szCs w:val="26"/>
        </w:rPr>
        <w:t xml:space="preserve"> тис.дол., або </w:t>
      </w:r>
      <w:r w:rsidR="004B6D83">
        <w:rPr>
          <w:sz w:val="26"/>
          <w:szCs w:val="26"/>
        </w:rPr>
        <w:t>128,0</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4B6D83">
        <w:rPr>
          <w:sz w:val="26"/>
          <w:szCs w:val="26"/>
        </w:rPr>
        <w:t>376974,7</w:t>
      </w:r>
      <w:r w:rsidRPr="00B32A0C">
        <w:rPr>
          <w:sz w:val="26"/>
          <w:szCs w:val="26"/>
        </w:rPr>
        <w:t xml:space="preserve"> тис.дол. (у </w:t>
      </w:r>
      <w:r w:rsidR="003A4524">
        <w:rPr>
          <w:sz w:val="26"/>
          <w:szCs w:val="26"/>
        </w:rPr>
        <w:t>січні</w:t>
      </w:r>
      <w:r w:rsidR="00B31326">
        <w:rPr>
          <w:sz w:val="26"/>
          <w:szCs w:val="26"/>
        </w:rPr>
        <w:t>–</w:t>
      </w:r>
      <w:r w:rsidR="004B6D83">
        <w:rPr>
          <w:sz w:val="26"/>
          <w:szCs w:val="26"/>
        </w:rPr>
        <w:t>вересні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4B6D83">
        <w:rPr>
          <w:sz w:val="26"/>
          <w:szCs w:val="26"/>
          <w:lang w:val="ru-RU"/>
        </w:rPr>
        <w:t>438886,2</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8D588D">
        <w:rPr>
          <w:sz w:val="26"/>
          <w:szCs w:val="26"/>
          <w:lang w:val="ru-RU"/>
        </w:rPr>
        <w:t>7</w:t>
      </w:r>
      <w:r w:rsidR="009F2A5E">
        <w:rPr>
          <w:sz w:val="26"/>
          <w:szCs w:val="26"/>
          <w:lang w:val="ru-RU"/>
        </w:rPr>
        <w:t>0</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4B6D83">
        <w:rPr>
          <w:sz w:val="26"/>
          <w:szCs w:val="26"/>
        </w:rPr>
        <w:t>вересні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w:t>
      </w:r>
      <w:r w:rsidR="004B6D83">
        <w:rPr>
          <w:sz w:val="26"/>
          <w:szCs w:val="26"/>
        </w:rPr>
        <w:t>2,05</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w:t>
      </w:r>
      <w:r w:rsidR="00C56BBE">
        <w:rPr>
          <w:sz w:val="26"/>
          <w:szCs w:val="26"/>
          <w:lang w:val="ru-RU"/>
        </w:rPr>
        <w:t>30</w:t>
      </w:r>
      <w:r w:rsidRPr="006577A0">
        <w:rPr>
          <w:sz w:val="26"/>
          <w:szCs w:val="26"/>
        </w:rPr>
        <w:t xml:space="preserve"> країн</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0"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0"/>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4B6D83">
        <w:t>вересні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03573E"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4B6D83">
        <w:rPr>
          <w:rFonts w:ascii="Calibri" w:hAnsi="Calibri"/>
          <w:color w:val="000000"/>
          <w:sz w:val="24"/>
          <w:szCs w:val="24"/>
          <w:lang w:val="uk-UA"/>
        </w:rPr>
        <w:t>вересні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4B6D83">
              <w:rPr>
                <w:rFonts w:ascii="Calibri" w:hAnsi="Calibri" w:cs="Calibri"/>
                <w:snapToGrid w:val="0"/>
                <w:sz w:val="22"/>
                <w:szCs w:val="22"/>
              </w:rPr>
              <w:t>вересня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4B6D83">
              <w:rPr>
                <w:rFonts w:ascii="Calibri" w:hAnsi="Calibri" w:cs="Calibri"/>
                <w:snapToGrid w:val="0"/>
                <w:sz w:val="22"/>
                <w:szCs w:val="22"/>
              </w:rPr>
              <w:t>вересня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134363" w:rsidRPr="00BA2084" w:rsidTr="00134363">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815B7" w:rsidRDefault="00134363" w:rsidP="00134363">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134363" w:rsidRPr="001815B7" w:rsidRDefault="00134363" w:rsidP="00134363">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b/>
              </w:rPr>
            </w:pPr>
            <w:r w:rsidRPr="00134363">
              <w:rPr>
                <w:rFonts w:cs="Times New Roman CYR"/>
                <w:b/>
              </w:rPr>
              <w:t>913789,1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b/>
              </w:rPr>
            </w:pPr>
            <w:r w:rsidRPr="00134363">
              <w:rPr>
                <w:rFonts w:cs="Times New Roman CYR"/>
                <w:b/>
              </w:rPr>
              <w:t>106,5</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b/>
              </w:rPr>
            </w:pPr>
            <w:r w:rsidRPr="00134363">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b/>
              </w:rPr>
            </w:pPr>
            <w:r w:rsidRPr="00134363">
              <w:rPr>
                <w:rFonts w:cs="Times New Roman CYR"/>
                <w:b/>
              </w:rPr>
              <w:t>536814,4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b/>
              </w:rPr>
            </w:pPr>
            <w:r w:rsidRPr="00134363">
              <w:rPr>
                <w:rFonts w:cs="Times New Roman CYR"/>
                <w:b/>
              </w:rPr>
              <w:t>128,0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b/>
              </w:rPr>
            </w:pPr>
            <w:r w:rsidRPr="00134363">
              <w:rPr>
                <w:rFonts w:cs="Times New Roman CYR"/>
                <w:b/>
              </w:rPr>
              <w:t>100,0</w:t>
            </w:r>
          </w:p>
        </w:tc>
      </w:tr>
      <w:tr w:rsidR="006858E2"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290007,0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597,1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24449,0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95,1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4,6</w:t>
            </w: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031816" w:rsidRDefault="00134363" w:rsidP="00134363">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357882,1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89,3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18570,7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3,5</w:t>
            </w: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110059,0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581,6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95,3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0,1</w:t>
            </w: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46091,3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117,4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27574,8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126,3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5,1</w:t>
            </w: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4465,2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71,7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66123,7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109,9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12,3</w:t>
            </w: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CC4507" w:rsidRDefault="00134363" w:rsidP="00134363">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16149,9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138068,9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25,7</w:t>
            </w: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5016,7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106,5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54419,5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164,8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10,1</w:t>
            </w:r>
          </w:p>
        </w:tc>
      </w:tr>
      <w:tr w:rsidR="00134363" w:rsidRPr="00BA2084" w:rsidTr="00134363">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82,8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160,6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688,7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156,7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0,1</w:t>
            </w:r>
          </w:p>
        </w:tc>
      </w:tr>
      <w:tr w:rsidR="00134363" w:rsidRPr="00BA2084" w:rsidTr="0003573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36133,5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78,0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409,3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81,6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0,1</w:t>
            </w:r>
          </w:p>
        </w:tc>
      </w:tr>
      <w:tr w:rsidR="00134363" w:rsidRPr="00BA2084" w:rsidTr="0003573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2748,2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11493,9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150,6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2,1</w:t>
            </w:r>
          </w:p>
        </w:tc>
      </w:tr>
      <w:tr w:rsidR="00134363" w:rsidRPr="00BA2084" w:rsidTr="0003573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1499,9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33260,4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165,7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6,2</w:t>
            </w:r>
          </w:p>
        </w:tc>
      </w:tr>
      <w:tr w:rsidR="00134363" w:rsidRPr="00BA2084" w:rsidTr="0003573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5A3086" w:rsidRDefault="00134363" w:rsidP="00134363">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5A3086" w:rsidRDefault="00134363" w:rsidP="00134363">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207,1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436,4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473,5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0,1</w:t>
            </w:r>
          </w:p>
        </w:tc>
      </w:tr>
      <w:tr w:rsidR="00134363" w:rsidRPr="00BA2084" w:rsidTr="0003573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6303,9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144,6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1874,9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171,9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0,3</w:t>
            </w:r>
          </w:p>
        </w:tc>
      </w:tr>
      <w:tr w:rsidR="0065498D" w:rsidRPr="00BA2084" w:rsidTr="0003573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7B360E" w:rsidRDefault="0065498D" w:rsidP="0065498D">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65498D" w:rsidRPr="007B360E" w:rsidRDefault="0065498D" w:rsidP="0065498D">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134363">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134363">
            <w:pPr>
              <w:spacing w:after="0" w:line="240" w:lineRule="auto"/>
              <w:jc w:val="right"/>
              <w:rPr>
                <w:rFonts w:cs="Times New Roman CYR"/>
              </w:rPr>
            </w:pPr>
            <w:r w:rsidRPr="0065498D">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134363">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134363">
            <w:pPr>
              <w:spacing w:after="0" w:line="240" w:lineRule="auto"/>
              <w:jc w:val="right"/>
              <w:rPr>
                <w:rFonts w:cs="Times New Roman CYR"/>
              </w:rPr>
            </w:pPr>
            <w:r w:rsidRPr="0065498D">
              <w:rPr>
                <w:rFonts w:cs="Times New Roman CYR"/>
              </w:rPr>
              <w:t>25,6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134363">
            <w:pPr>
              <w:spacing w:after="0" w:line="240" w:lineRule="auto"/>
              <w:jc w:val="right"/>
              <w:rPr>
                <w:rFonts w:cs="Times New Roman CYR"/>
              </w:rPr>
            </w:pPr>
            <w:r w:rsidRPr="0065498D">
              <w:rPr>
                <w:rFonts w:cs="Times New Roman CYR"/>
              </w:rPr>
              <w:t>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65498D" w:rsidRPr="0065498D" w:rsidRDefault="0065498D" w:rsidP="00134363">
            <w:pPr>
              <w:spacing w:after="0" w:line="240" w:lineRule="auto"/>
              <w:jc w:val="right"/>
              <w:rPr>
                <w:rFonts w:cs="Times New Roman CYR"/>
              </w:rPr>
            </w:pPr>
            <w:r w:rsidRPr="0065498D">
              <w:rPr>
                <w:rFonts w:cs="Times New Roman CYR"/>
              </w:rPr>
              <w:t>0,0</w:t>
            </w:r>
          </w:p>
        </w:tc>
      </w:tr>
      <w:tr w:rsidR="00134363" w:rsidRPr="00BA2084" w:rsidTr="0003573E">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031816" w:rsidRDefault="00134363" w:rsidP="00134363">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134363" w:rsidRPr="007B360E" w:rsidRDefault="00134363" w:rsidP="00134363">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w:t>
            </w:r>
            <w:bookmarkStart w:id="1" w:name="_GoBack"/>
            <w:bookmarkEnd w:id="1"/>
            <w:r w:rsidRPr="00134363">
              <w:rPr>
                <w:rFonts w:cs="Times New Roman CYR"/>
              </w:rPr>
              <w:t>959,2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77,3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14909,4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2,8</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03573E">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03573E">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4B6D83">
              <w:rPr>
                <w:rFonts w:ascii="Calibri" w:hAnsi="Calibri" w:cs="Calibri"/>
                <w:snapToGrid w:val="0"/>
                <w:sz w:val="22"/>
                <w:szCs w:val="22"/>
              </w:rPr>
              <w:t>вересня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4B6D83">
              <w:rPr>
                <w:rFonts w:ascii="Calibri" w:hAnsi="Calibri" w:cs="Calibri"/>
                <w:snapToGrid w:val="0"/>
                <w:sz w:val="22"/>
                <w:szCs w:val="22"/>
              </w:rPr>
              <w:t>вересня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134363" w:rsidRPr="00BA2084" w:rsidTr="0003573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auto"/>
            </w:tcBorders>
            <w:vAlign w:val="bottom"/>
          </w:tcPr>
          <w:p w:rsidR="00134363" w:rsidRPr="007B360E" w:rsidRDefault="00134363" w:rsidP="00134363">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13298,4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84,3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1,5</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70340,9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122,1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13,1</w:t>
            </w:r>
          </w:p>
        </w:tc>
      </w:tr>
      <w:tr w:rsidR="00134363" w:rsidRPr="00BA2084" w:rsidTr="0003573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auto"/>
            </w:tcBorders>
            <w:vAlign w:val="bottom"/>
          </w:tcPr>
          <w:p w:rsidR="00134363" w:rsidRPr="007B360E" w:rsidRDefault="00134363" w:rsidP="00134363">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786,0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61113,0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180,7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11,4</w:t>
            </w:r>
          </w:p>
        </w:tc>
      </w:tr>
      <w:tr w:rsidR="00134363" w:rsidRPr="00BA2084" w:rsidTr="0003573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auto"/>
            </w:tcBorders>
            <w:vAlign w:val="bottom"/>
          </w:tcPr>
          <w:p w:rsidR="00134363" w:rsidRPr="007B360E" w:rsidRDefault="00134363" w:rsidP="00134363">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2301,4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289,0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6231,9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163,6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1,2</w:t>
            </w:r>
          </w:p>
        </w:tc>
      </w:tr>
      <w:tr w:rsidR="00134363" w:rsidRPr="00BA2084" w:rsidTr="0003573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auto"/>
            </w:tcBorders>
            <w:vAlign w:val="bottom"/>
          </w:tcPr>
          <w:p w:rsidR="00134363" w:rsidRPr="007B360E" w:rsidRDefault="00134363" w:rsidP="00134363">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16797,3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99,7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5857,6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107,8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1,1</w:t>
            </w:r>
          </w:p>
        </w:tc>
      </w:tr>
      <w:tr w:rsidR="00134363" w:rsidRPr="00BA2084" w:rsidTr="0003573E">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auto"/>
            </w:tcBorders>
            <w:vAlign w:val="bottom"/>
          </w:tcPr>
          <w:p w:rsidR="00134363" w:rsidRPr="007B360E" w:rsidRDefault="00134363" w:rsidP="00134363">
            <w:pPr>
              <w:spacing w:after="0" w:line="320" w:lineRule="exact"/>
              <w:jc w:val="center"/>
              <w:rPr>
                <w:rFonts w:eastAsia="Times New Roman"/>
                <w:bCs/>
                <w:lang w:eastAsia="ru-RU"/>
              </w:rPr>
            </w:pP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134363">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134363">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134363">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347,2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72,7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134363">
            <w:pPr>
              <w:spacing w:after="0" w:line="240" w:lineRule="auto"/>
              <w:jc w:val="right"/>
              <w:rPr>
                <w:rFonts w:cs="Times New Roman CYR"/>
              </w:rPr>
            </w:pPr>
            <w:r w:rsidRPr="00134363">
              <w:rPr>
                <w:rFonts w:cs="Times New Roman CYR"/>
              </w:rPr>
              <w:t>0,1</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03573E" w:rsidRPr="0003573E">
      <w:rPr>
        <w:rFonts w:ascii="Calibri" w:hAnsi="Calibri"/>
        <w:noProof/>
        <w:sz w:val="20"/>
        <w:szCs w:val="20"/>
        <w:lang w:val="uk-UA"/>
      </w:rPr>
      <w:t>2</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221"/>
    <w:rsid w:val="0002439D"/>
    <w:rsid w:val="000267D8"/>
    <w:rsid w:val="00031816"/>
    <w:rsid w:val="0003181B"/>
    <w:rsid w:val="000322BC"/>
    <w:rsid w:val="00034003"/>
    <w:rsid w:val="00034C52"/>
    <w:rsid w:val="00034E29"/>
    <w:rsid w:val="000354FF"/>
    <w:rsid w:val="0003573E"/>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363"/>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3D6D"/>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B7872"/>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3CF"/>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558D"/>
    <w:rsid w:val="004A6055"/>
    <w:rsid w:val="004A6ABE"/>
    <w:rsid w:val="004B198E"/>
    <w:rsid w:val="004B311E"/>
    <w:rsid w:val="004B5293"/>
    <w:rsid w:val="004B6D8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A7131"/>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3748D"/>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498D"/>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288"/>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73E"/>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09C7"/>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588D"/>
    <w:rsid w:val="008D6037"/>
    <w:rsid w:val="008E013D"/>
    <w:rsid w:val="008E1771"/>
    <w:rsid w:val="008E3436"/>
    <w:rsid w:val="008E4C00"/>
    <w:rsid w:val="008E5FDC"/>
    <w:rsid w:val="008E7961"/>
    <w:rsid w:val="008E7F38"/>
    <w:rsid w:val="008F265F"/>
    <w:rsid w:val="008F27DF"/>
    <w:rsid w:val="008F2B28"/>
    <w:rsid w:val="008F3582"/>
    <w:rsid w:val="008F4C5A"/>
    <w:rsid w:val="008F56BF"/>
    <w:rsid w:val="008F5BF3"/>
    <w:rsid w:val="008F5C11"/>
    <w:rsid w:val="00900466"/>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2A5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3C3"/>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1527"/>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5767"/>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65B"/>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56BBE"/>
    <w:rsid w:val="00C612F0"/>
    <w:rsid w:val="00C61E73"/>
    <w:rsid w:val="00C62F5E"/>
    <w:rsid w:val="00C656E0"/>
    <w:rsid w:val="00C65A4D"/>
    <w:rsid w:val="00C65F0B"/>
    <w:rsid w:val="00C669A7"/>
    <w:rsid w:val="00C66F52"/>
    <w:rsid w:val="00C67138"/>
    <w:rsid w:val="00C67493"/>
    <w:rsid w:val="00C72B95"/>
    <w:rsid w:val="00C72E37"/>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4BE5"/>
    <w:rsid w:val="00E25751"/>
    <w:rsid w:val="00E26C11"/>
    <w:rsid w:val="00E27A2C"/>
    <w:rsid w:val="00E27DA6"/>
    <w:rsid w:val="00E27E4D"/>
    <w:rsid w:val="00E301A0"/>
    <w:rsid w:val="00E30276"/>
    <w:rsid w:val="00E32A17"/>
    <w:rsid w:val="00E33B6E"/>
    <w:rsid w:val="00E34E7A"/>
    <w:rsid w:val="00E34EC0"/>
    <w:rsid w:val="00E34FCE"/>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6603A"/>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223B"/>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5CBC"/>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557744320646905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399712132757675E-2"/>
                  <c:y val="-4.34280122956494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056980780628229E-2"/>
                  <c:y val="4.117471802511161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158072982812633E-2"/>
                  <c:y val="-4.292024307772339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452205571077851E-2"/>
                  <c:y val="-4.30564658315717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182880365761E-2"/>
                  <c:y val="4.257137846045903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90813648293965E-2"/>
                  <c:y val="3.919330570196885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31428329523405E-2"/>
                  <c:y val="-4.479096472847107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pt idx="5" formatCode="0.0">
                  <c:v>134.30000000000001</c:v>
                </c:pt>
                <c:pt idx="6">
                  <c:v>125.8</c:v>
                </c:pt>
                <c:pt idx="7" formatCode="0.0">
                  <c:v>114.7</c:v>
                </c:pt>
                <c:pt idx="8">
                  <c:v>106.5</c:v>
                </c:pt>
              </c:numCache>
            </c:numRef>
          </c:val>
          <c:smooth val="0"/>
        </c:ser>
        <c:ser>
          <c:idx val="0"/>
          <c:order val="2"/>
          <c:tx>
            <c:strRef>
              <c:f>Sheet1!$A$4</c:f>
              <c:strCache>
                <c:ptCount val="1"/>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numCache>
            </c:numRef>
          </c:val>
          <c:smooth val="0"/>
        </c:ser>
        <c:dLbls>
          <c:showLegendKey val="0"/>
          <c:showVal val="0"/>
          <c:showCatName val="0"/>
          <c:showSerName val="0"/>
          <c:showPercent val="0"/>
          <c:showBubbleSize val="0"/>
        </c:dLbls>
        <c:marker val="1"/>
        <c:smooth val="0"/>
        <c:axId val="260900032"/>
        <c:axId val="260900592"/>
      </c:lineChart>
      <c:catAx>
        <c:axId val="26090003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0900592"/>
        <c:crossesAt val="0"/>
        <c:auto val="1"/>
        <c:lblAlgn val="ctr"/>
        <c:lblOffset val="0"/>
        <c:tickLblSkip val="1"/>
        <c:tickMarkSkip val="1"/>
        <c:noMultiLvlLbl val="0"/>
      </c:catAx>
      <c:valAx>
        <c:axId val="260900592"/>
        <c:scaling>
          <c:orientation val="minMax"/>
          <c:max val="300"/>
          <c:min val="10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0900032"/>
        <c:crosses val="autoZero"/>
        <c:crossBetween val="midCat"/>
        <c:majorUnit val="50"/>
        <c:minorUnit val="5"/>
      </c:valAx>
      <c:spPr>
        <a:solidFill>
          <a:srgbClr val="FFFFFF"/>
        </a:solidFill>
        <a:ln w="25389">
          <a:noFill/>
        </a:ln>
      </c:spPr>
    </c:plotArea>
    <c:legend>
      <c:legendPos val="r"/>
      <c:legendEntry>
        <c:idx val="2"/>
        <c:delete val="1"/>
      </c:legendEntry>
      <c:layout>
        <c:manualLayout>
          <c:xMode val="edge"/>
          <c:yMode val="edge"/>
          <c:x val="0.22165709931419864"/>
          <c:y val="0.88109913136590634"/>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530044725717699E-2"/>
                  <c:y val="4.758790286349338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907138944080587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3173236523004712E-2"/>
                  <c:y val="5.27402993544726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6068388647680646E-2"/>
                  <c:y val="4.89986049041167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pt idx="5">
                  <c:v>136.1</c:v>
                </c:pt>
                <c:pt idx="6">
                  <c:v>132.69999999999999</c:v>
                </c:pt>
                <c:pt idx="7">
                  <c:v>130.6</c:v>
                </c:pt>
                <c:pt idx="8" formatCode="0.0">
                  <c:v>128</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260903952"/>
        <c:axId val="260904512"/>
      </c:lineChart>
      <c:catAx>
        <c:axId val="26090395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60904512"/>
        <c:crosses val="autoZero"/>
        <c:auto val="1"/>
        <c:lblAlgn val="ctr"/>
        <c:lblOffset val="0"/>
        <c:tickLblSkip val="1"/>
        <c:tickMarkSkip val="1"/>
        <c:noMultiLvlLbl val="0"/>
      </c:catAx>
      <c:valAx>
        <c:axId val="260904512"/>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60903952"/>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AA598-E807-47D1-BDFD-F3F53137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4</Pages>
  <Words>4100</Words>
  <Characters>2337</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6425</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21</cp:revision>
  <cp:lastPrinted>2023-05-16T11:23:00Z</cp:lastPrinted>
  <dcterms:created xsi:type="dcterms:W3CDTF">2023-06-15T09:27:00Z</dcterms:created>
  <dcterms:modified xsi:type="dcterms:W3CDTF">2023-11-15T07:14:00Z</dcterms:modified>
</cp:coreProperties>
</file>